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74bc9dd7cad34efb" /></Relationships>
</file>

<file path=word/document.xml><?xml version="1.0" encoding="utf-8"?>
<w:document xmlns:w="http://schemas.openxmlformats.org/wordprocessingml/2006/main">
  <w:body>
    <w:tbl>
      <w:tblPr>
        <w:tblW w:w="9000" w:type="dxa"/>
        <w:tblBorders>
          <w:top w:val="nil"/>
          <w:bottom w:val="nil"/>
          <w:left w:val="nil"/>
          <w:right w:val="nil"/>
          <w:insideH w:val="nil"/>
          <w:insideV w:val="nil"/>
        </w:tblBorders>
        <w:tblCellSpacing w:w="60" w:type="dxa"/>
        <w:shd w:val="clear" w:color="auto" w:fill="E7F0F9"/>
      </w:tblPr>
      <w:tblGrid>
        <w:gridCol w:w="1200"/>
        <w:gridCol w:w="4500"/>
      </w:tblGrid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RKP broj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32963</w:t>
            </w:r>
          </w:p>
        </w:tc>
      </w:tr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Naziv obveznika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PUČKO OTVORENO UČILIŠTE SLATINA</w:t>
            </w:r>
          </w:p>
        </w:tc>
      </w:tr>
      <w:tr>
        <w:tc>
          <w:tcPr>
            <w:tcW w:w="1200" w:type="pct"/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rPr>
                <w:b/>
              </w:rPr>
              <w:t xml:space="preserve">Razina</w:t>
            </w:r>
          </w:p>
        </w:tc>
        <w:tc>
          <w:tcPr>
            <w:shd w:val="clear" w:color="auto" w:fill="E7F0F9"/>
          </w:tcPr>
          <w:p>
            <w:pPr>
              <w:spacing w:before="0" w:after="0" w:line="240" w:lineRule="auto"/>
              <w:jc w:val="left"/>
            </w:pPr>
            <w:r>
              <w:t xml:space="preserve">21</w:t>
            </w:r>
          </w:p>
        </w:tc>
      </w:tr>
    </w:tbl>
    <w:p>
      <w:r>
        <w:br/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 xml:space="preserve">BILJEŠKE UZ FINANCIJSKE IZVJEŠTAJE</w:t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 xml:space="preserve">ZA RAZDOBLJE</w:t>
      </w:r>
    </w:p>
    <w:p>
      <w:pPr>
        <w:jc w:val="center"/>
        <w:pStyle w:val="Normal"/>
        <w:spacing w:line="240" w:lineRule="auto"/>
      </w:pPr>
      <w:r>
        <w:rPr>
          <w:b/>
          <w:sz w:val="28"/>
          <w:rFonts w:ascii="Times New Roman" w:hAnsi="Times New Roman"/>
        </w:rPr>
        <w:t xml:space="preserve">I - XII 2025.</w:t>
      </w:r>
    </w:p>
    <w:p/>
    <w:p>
      <w:pPr>
        <w:jc w:val="center"/>
        <w:pStyle w:val="Normal"/>
        <w:spacing w:line="240" w:lineRule="auto"/>
        <w:keepNext/>
      </w:pPr>
      <w:r>
        <w:rPr>
          <w:b/>
          <w:sz w:val="28"/>
          <w:rFonts w:ascii="Times New Roman" w:hAnsi="Times New Roman"/>
        </w:rPr>
        <w:t xml:space="preserve">Izvještaj o prihodima i rashodima, primicima i izdacima</w:t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1.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0" w:type="auto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POSLOVANJA (šifre 61+62+63+64+65+66+67+68)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323.886,08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450.191,72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139,0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POSLOVANJA (šifre 31+32+34+35+36+37+38)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303.877,91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415.878,81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136,9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VIŠAK PRIHODA POSLOVANJA (šifre 6-Z005)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X001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20.008,17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34.312,91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171,5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od prodaje nefinancijske imovine (šifre 71+72+73+74)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Rashodi za nabavu nefinancijske imovine (šifre 41+42+43+44+45)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15.631,08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14.563,30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93,2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MANJAK PRIHODA OD NEFINANCIJSKE IMOVINE (šifre 4-7)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Y002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15.631,08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14.563,30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93,2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Primici od financijske imovine i zaduživanja (šifre 81+82+83+84+85)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Izdaci za financijsku imovinu i otplate zajmova (šifre 51+52+53+54+55)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VIŠAK/MANJAK PRIMITAKA OD FINANCIJSKE IMOVINE I ZADUŽIVANJA (šifre 8-5, 5-8)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X003, Y003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-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 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VIŠAK PRIHODA I PRIMITAKA (šifre X678-Y345)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X005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4.377,09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19.749,61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451,2</w:t>
            </w:r>
          </w:p>
        </w:tc>
      </w:tr>
    </w:tbl>
    <w:p>
      <w:pPr>
        <w:spacing w:before="0" w:after="0"/>
      </w:pPr>
    </w:p>
    <w:p>
      <w:r>
        <w:t xml:space="preserve">U izvještajnom razdoblju ostvareni su prihodi poslovanja u iznosu od 450.191,72 € što predstavlja povećanje od 39% u odnosu na godinu prije. Najznačajnije povećanje prihoda poslovanja ostvareno je kod prihoda od prodaje proizvoda i robe te pruženih usluga, prihodi od donacija te povrati po protestiranim jamstvima (šifra 66) 121,8% u odnosu na godinu ranije. Navedeno povećanje rezultat je prvenstveno prihoda od pruženih usluga obrazovanja. Prihodi od pomoći iz inozemstva i od subjekata unutar općeg proračuna (šifra 63) povećane su za 25,9%. Navedeni prihodi odnose se na projekte Ministarstva kulture i medija RH koji su u 2025 godini bili sufinancirani u većim iznosima nego godinu prije te na pomoći iz Virovitičko-podravske županije koje su također bile veće u odnosu na godinu ranije. Prihodi od nadležnog proračuna (šifra 67) povećani su za 18,7% u odnosu na godnu ranije. Oni služe prvenstveno za pokriće troškova plaća te sufinanciranja materijalnih troškova. S obzirom da su navedeni troškovi rasli, povećali su se i prihodi kojima su ti troškovi financirani. Prihodi od upravnih i administrativnih pristojbi, pristojbi po posebnim propisima i naknada (šifra 65) koji se odnose na prihode od prodaje ulaznica za kino i kazalište povećani su za 8,4% u odnosu na godinu ranije.</w:t>
      </w:r>
    </w:p>
    <w:p>
      <w:r>
        <w:t xml:space="preserve">Rashodi poslovanja u izvještajnom razdoblju ostvareni su u iznosu od 415.878,81 €. Najznačajnije povećanje rashoda evidentirano je na materijalnim rashodima (šifra 32) za 42,2% u odnosu na godinu ranije. Navedeno povećanje rezultat je povećanja obujma poslovanja te provedbom tekućih projekata i ostalih aktivnosti uz povećano financiranja od strane nadležnog proračuna, Ministarstva kulture i medija RH, Virovitičko-podravske županije, tekućih donacija te vlastitih prihoda. Značajno je i povećanje rashoda za zaposlene (šifra 31) uslijed povećanja troška plaća, 30,8% u odnosu na godinu ranije.</w:t>
      </w:r>
    </w:p>
    <w:p>
      <w:r>
        <w:t xml:space="preserve">U navedenom razdoblju nema ostvarenih prihoda od prodaje nefinancijske imovine, dok su rashodi za nabavu nefinancijske imovine ostvareni u iznosu od 14.563,30 €.</w:t>
      </w:r>
    </w:p>
    <w:p>
      <w:r>
        <w:t xml:space="preserve">U navedenom razdoblju nije bilo ostvarenih primitaka i izdataka od financijske imovine i zađuživanja.  </w:t>
      </w:r>
    </w:p>
    <w:p>
      <w:r>
        <w:t xml:space="preserve">U izvještajnom razdoblju ostvaren je višak prihoda poslovanja u iznosu od 34.312,91 € te manjak prihoda od nefinancijske imovine u iznosu od 14.563,30 €, slijedom čega je na kraju izvještajnog razdoblja ostvaren ukupan višak prihoda i primitaka u iznosu od 19.749,61 €. Navedeni višak prihoda i primitaka sastoji se od višaka/manjka po izvorima:</w:t>
      </w:r>
    </w:p>
    <w:p>
      <w:r>
        <w:t xml:space="preserve">Izvor 1.1. manjak u iznosu  17.405,11</w:t>
      </w:r>
    </w:p>
    <w:p>
      <w:r>
        <w:t xml:space="preserve">Izvor 3.1. višak u iznosu  20.272,74</w:t>
      </w:r>
    </w:p>
    <w:p>
      <w:r>
        <w:t xml:space="preserve">Izvor 4.9. višak u iznosu  7.824,17</w:t>
      </w:r>
    </w:p>
    <w:p>
      <w:r>
        <w:t xml:space="preserve">Izvor 5.4. višak u iznosu  5.770,74</w:t>
      </w:r>
    </w:p>
    <w:p>
      <w:r>
        <w:t xml:space="preserve">Izvor 6.3. višak u iznosu  3.287,07</w:t>
      </w:r>
    </w:p>
    <w:p>
      <w:r>
        <w:t xml:space="preserve"> </w:t>
      </w:r>
    </w:p>
    <w:p>
      <w:r>
        <w:t xml:space="preserve"> </w:t>
      </w:r>
    </w:p>
    <w:p>
      <w:r>
        <w:br/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2.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6361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Tekuće pomoći proračunskim korisnicima iz proračuna koji im nije nadležan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6361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57.140,00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71.940,00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125,9</w:t>
            </w:r>
          </w:p>
        </w:tc>
      </w:tr>
    </w:tbl>
    <w:p>
      <w:pPr>
        <w:spacing w:before="0" w:after="0"/>
      </w:pPr>
    </w:p>
    <w:p>
      <w:r>
        <w:t xml:space="preserve">Prihodi od pomoći iz inozemstva i od subjekata unutar općeg proračuna (šifra 63) povećane su za 25,9% u izvještajnom razdoblju u odnosu na godinu ranije. Navedeni prihodi odnose se na prihode od Ministrastva kulture i medija RH u iznosu 60.000,00 € te pomoći Virovitičko-podravske županije u iznosu 11.940,00 €. Ministarstvo kulture i medija RH sufinanciralo je projekt "Zamjena starih podova u hodniku i holu kina u Slatini" u iznosu 50.000,00 € te tekuće projekte "Slatinska mala scena" u iznosu od 5.000,00 € te "Slatinske kazališne večeri" u iznosu od 5.000,00 €. Virovitičko podravska županija i Pučko otvoreno učilište Slatina sklopili su Ugovor o sufinanciranju rada Pučkog otvorenog učilišta Slatina u iznosu od 6.640,00 €. Virovitičko-podravska županija i Pučko otvoreno učilište Slatina sklopili su i Ugovor o financijskoj potpori projekta koji je od općeg interesa za Virovitičko-podravsku županiju u 2025. godini. Naziv projekta je „Slatinske kazališne večeri 2025.“, u iznosu 5.300,00 €. 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3.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6526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Ostali nespomenuti prihodi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6526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42.750,45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46.332,71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108,4</w:t>
            </w:r>
          </w:p>
        </w:tc>
      </w:tr>
    </w:tbl>
    <w:p>
      <w:pPr>
        <w:spacing w:before="0" w:after="0"/>
      </w:pPr>
    </w:p>
    <w:p>
      <w:r>
        <w:t xml:space="preserve">Navedeni prihodi se odnose na prihode od prodaje ulaznica za kino i kazalište te su veći za 8,4% u odnosu na izvještajno razdoblje godinu ranije.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4.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6615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od pruženih usluga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6615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56.967,83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132.613,05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232,8</w:t>
            </w:r>
          </w:p>
        </w:tc>
      </w:tr>
    </w:tbl>
    <w:p>
      <w:pPr>
        <w:spacing w:before="0" w:after="0"/>
      </w:pPr>
    </w:p>
    <w:p>
      <w:r>
        <w:t xml:space="preserve">Prihodi od pruženih usluga u izvještajnom su radoblju veći za 132,8% u odnosu na godinu ranije. Navedeni prihodi odnose se na prihode od pruženih usluga obrazovanja i najma. Na usluge obrazovanja odnosi se 124.020,71 € dok se na uslugu najma odnosi 8.592,34 €. Na navedeno povećanje najveći utjecaj ima povećanje prihoda od obrazovanja i to prvenstveno zbog povećanog interesa uslijed sufinanciranja cijene od strane Hrvatskog zavoda za zapošljavanje.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5.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6631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Tekuće donacije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6631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7.070,89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9.442,00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133,5</w:t>
            </w:r>
          </w:p>
        </w:tc>
      </w:tr>
    </w:tbl>
    <w:p>
      <w:pPr>
        <w:spacing w:before="0" w:after="0"/>
      </w:pPr>
    </w:p>
    <w:p>
      <w:r>
        <w:t xml:space="preserve">Tekuće donacije obuhvaćaju donacije Hrvatskog audiovizualnog centar Zagreb i EUROPA CINEMAS. Hrvatski audiovizualni centar Zagreb i Pučko otvoreno učilište Slatina sklopili su Ugovor o korištenju sredstava centra za program filmske djelatnosti: „105 godine kinematografije u Slatini “ u iznosu od 2.350,00 €. Hrvatski audiovizualni centar Zagreb i Pučko otvoreno učilište Slatina sklopili su Ugovor o korištenju sredstava centra za program filmske djelatnosti: "U kinu je mrak" u iznosu od 1.800,00 €. U izvještajnom razdoblju HAVC je ukupno uplatio 3.844,00 €. Na toj šifri nalazi se i donacija od 5.598,00 € koju smo dobili od Europa Cinemas. Od 01. siječnja 2019. godine POU Slatina postalo je član najznačajnije mreže europskih nezavisnih kina EUROPA CINEMAS.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6.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6711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Prihodi iz nadležnog proračuna za financiranje rashoda poslovanja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6711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159.956,88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187.209,96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117,0</w:t>
            </w:r>
          </w:p>
        </w:tc>
      </w:tr>
    </w:tbl>
    <w:p>
      <w:pPr>
        <w:spacing w:before="0" w:after="0"/>
      </w:pPr>
    </w:p>
    <w:p>
      <w:r>
        <w:t xml:space="preserve">Prihodi od nadležnog proračuna povećani su za 17% u odnosu na godnu ranije. Oni služe prvenstveno za pokriće troškova plaća te sufinanciranja materijalnih troškova. S obzirom da su navedeni troškovi rasli, povećali su se i prihodi kojima su ti troškovi financirani. 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7.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3111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Plaće za redovan rad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3111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103.251,81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138.382,30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134,0</w:t>
            </w:r>
          </w:p>
        </w:tc>
      </w:tr>
    </w:tbl>
    <w:p>
      <w:pPr>
        <w:spacing w:before="0" w:after="0"/>
      </w:pPr>
    </w:p>
    <w:p>
      <w:r>
        <w:t xml:space="preserve">Navedeni rashod veći je za 34% u odnosu na godinu ranije uslijed rasta plaća i shodno tome i troška samih plaća.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8.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Usluge tekućeg i investicijskog održavanja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45.194,89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73.355,76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162,3</w:t>
            </w:r>
          </w:p>
        </w:tc>
      </w:tr>
    </w:tbl>
    <w:p>
      <w:pPr>
        <w:spacing w:before="0" w:after="0"/>
      </w:pPr>
    </w:p>
    <w:p>
      <w:r>
        <w:t xml:space="preserve">Navedeni rashod je veći za 62,3% u odnosu na godinu dana ranije, a odnosi se prvenstveno na projekt "Zamjena starih podova u hodniku i holu kina u Slatini" te ostale manje radove.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9.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Zakupnine i najamnine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3235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14.235,53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17.713,60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124,4</w:t>
            </w:r>
          </w:p>
        </w:tc>
      </w:tr>
    </w:tbl>
    <w:p>
      <w:pPr>
        <w:spacing w:before="0" w:after="0"/>
      </w:pPr>
    </w:p>
    <w:p>
      <w:r>
        <w:t xml:space="preserve">Navedeni rashod veći je za 24,4% u odnosu na godinu ranije. Na ovoj šifri nalaze se najamnine za filmove koje su značajno povećane u 2025. godini što se odrazilo i na ukupni rashod.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10.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Intelektualne i osobne usluge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37.836,30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49.057,69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129,7</w:t>
            </w:r>
          </w:p>
        </w:tc>
      </w:tr>
    </w:tbl>
    <w:p>
      <w:pPr>
        <w:spacing w:before="0" w:after="0"/>
      </w:pPr>
    </w:p>
    <w:p>
      <w:r>
        <w:t xml:space="preserve">U izvještajnom razdoblju navedeni rashod veći je za 29,7% u odnosu na godni ranije, a odnosi se na troškove nastavnika vezano za uslugu obrazovanja. S obzirom da je navedena usluga obrazovanja značajno povećana u izvještajnom razdbolju (što se je ranije objašnjeno i na prihodovnoj strani) povećani su i rashodi vezani za uslugu obrazovanja.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11.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prethodne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Ostvareno u izvještajnom razdoblju tekuće godine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Računalne usluge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3238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1.179,23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10.405,07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882,4</w:t>
            </w:r>
          </w:p>
        </w:tc>
      </w:tr>
    </w:tbl>
    <w:p>
      <w:pPr>
        <w:spacing w:before="0" w:after="0"/>
      </w:pPr>
    </w:p>
    <w:p>
      <w:r>
        <w:t xml:space="preserve">Rashod za računalne usluge veći je za 782,4% u odnosu na godinu ranije uslijed implementacije programskog rješenja za ulazak u punu riznicu nadležnog proračuna.</w:t>
      </w:r>
    </w:p>
    <w:p/>
    <w:p>
      <w:pPr>
        <w:jc w:val="center"/>
        <w:pStyle w:val="Normal"/>
        <w:spacing w:line="240" w:lineRule="auto"/>
        <w:keepNext/>
      </w:pPr>
      <w:r>
        <w:rPr>
          <w:b/>
          <w:sz w:val="28"/>
          <w:rFonts w:ascii="Times New Roman" w:hAnsi="Times New Roman"/>
        </w:rPr>
        <w:t xml:space="preserve">Bilanca</w:t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12.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Stanje 1. siječnja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Stanje 31. prosinca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124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Potraživanja za više plaćene poreze i doprinose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124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1.377,46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14.322,11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1039,7</w:t>
            </w:r>
          </w:p>
        </w:tc>
      </w:tr>
    </w:tbl>
    <w:p>
      <w:pPr>
        <w:spacing w:before="0" w:after="0"/>
      </w:pPr>
    </w:p>
    <w:p>
      <w:r>
        <w:t xml:space="preserve">Navedeni iznos se odnosi na potraživanja za pretporez.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13.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Stanje 1. siječnja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Stanje 31. prosinca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166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Potraživanja za prihode od prodaje proizvoda i robe te pruženih usluga i za povrat po protestiranim jamstvima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166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680,34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451,63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66,4</w:t>
            </w:r>
          </w:p>
        </w:tc>
      </w:tr>
    </w:tbl>
    <w:p>
      <w:pPr>
        <w:spacing w:before="0" w:after="0"/>
      </w:pPr>
    </w:p>
    <w:p>
      <w:r>
        <w:t xml:space="preserve">Navedena potraživanja se odnose na izdane račune za najam za 12. mjesec kod kojih se očekuje naplata u 2026.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14.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Stanje 1. siječnja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Stanje 31. prosinca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Obveze za zaposlene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231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12.661,49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14.219,96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112,3</w:t>
            </w:r>
          </w:p>
        </w:tc>
      </w:tr>
    </w:tbl>
    <w:p>
      <w:pPr>
        <w:spacing w:before="0" w:after="0"/>
      </w:pPr>
    </w:p>
    <w:p>
      <w:r>
        <w:t xml:space="preserve">Obveze za zaposlene se odnose na plaću za 12. mjesec koja je isplaćena u 2026. godini.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15.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Stanje 1. siječnja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Stanje 31. prosinca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232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Obveze za materijalne rashode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232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232,37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22.811,77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9817,0</w:t>
            </w:r>
          </w:p>
        </w:tc>
      </w:tr>
    </w:tbl>
    <w:p>
      <w:pPr>
        <w:spacing w:before="0" w:after="0"/>
      </w:pPr>
    </w:p>
    <w:p>
      <w:r>
        <w:t xml:space="preserve">Ove obveze odnose se na neplaćene račune koji se odnose na 2025. godinu, a bit će plaćeni u 2026. godini.</w:t>
      </w:r>
    </w:p>
    <w:p/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16.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Stanje 1. siječnja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Stanje 31. prosinca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922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Rezultat - višak/manjak (šifre 9221-9222)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922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71.492,33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100.723,06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140,9</w:t>
            </w:r>
          </w:p>
        </w:tc>
      </w:tr>
    </w:tbl>
    <w:p>
      <w:pPr>
        <w:spacing w:before="0" w:after="0"/>
      </w:pPr>
    </w:p>
    <w:p>
      <w:r>
        <w:t xml:space="preserve">U 2025. godini provedena je raspodjela rezultata kako bi se pokrio manjak prihoda od nefinancijske imovine u iznosu 21.539,09 € te preneseni višak prihoda i primitaka iz prošle godine iznosi 80.973,45 €. Višak ostvaren u 2025. iznosi 19.749,61 € što zajedno čini ukupan iznos od 100.723,06 €, odnosno rezultat na 31.12.2025. godine.</w:t>
      </w:r>
    </w:p>
    <w:p/>
    <w:p>
      <w:pPr>
        <w:jc w:val="center"/>
        <w:pStyle w:val="Normal"/>
        <w:spacing w:line="240" w:lineRule="auto"/>
        <w:keepNext/>
      </w:pPr>
      <w:r>
        <w:rPr>
          <w:b/>
          <w:sz w:val="28"/>
          <w:rFonts w:ascii="Times New Roman" w:hAnsi="Times New Roman"/>
        </w:rPr>
        <w:t xml:space="preserve">Izvještaj o obvezama</w:t>
      </w:r>
    </w:p>
    <w:p>
      <w:pPr>
        <w:jc w:val="center"/>
        <w:pStyle w:val="Normal"/>
        <w:spacing w:line="240" w:lineRule="auto"/>
        <w:keepNext/>
      </w:pPr>
      <w:r>
        <w:rPr>
          <w:sz w:val="28"/>
          <w:rFonts w:ascii="Times New Roman" w:hAnsi="Times New Roman"/>
        </w:rPr>
        <w:t xml:space="preserve">Bilješka 17.</w:t>
      </w:r>
    </w:p>
    <w:tbl>
      <w:tblPr>
        <w:tblBorders>
          <w:top w:val="single" w:color="BABABA" w:sz="12"/>
          <w:bottom w:val="single" w:color="BABABA" w:sz="12"/>
          <w:left w:val="single" w:color="BABABA" w:sz="12"/>
          <w:right w:val="single" w:color="BABABA" w:sz="12"/>
          <w:insideH w:val="single" w:color="BABABA" w:sz="8"/>
          <w:insideV w:val="single" w:color="DADADA" w:sz="8"/>
        </w:tblBorders>
        <w:tblW w:w="9000" w:type="dxa"/>
        <w:tblLayout w:type="fixed"/>
        <w:tblCellMar>
          <w:left w:w="40" w:type="dxa"/>
          <w:right w:w="40" w:type="dxa"/>
        </w:tblCellMar>
      </w:tblPr>
      <w:tblGrid>
        <w:gridCol w:w="700"/>
        <w:gridCol w:w="3180"/>
        <w:gridCol w:w="700"/>
        <w:gridCol w:w="1860"/>
        <w:gridCol w:w="700"/>
      </w:tblGrid>
      <w:tr>
        <w:trPr>
          <w:cantSplit/>
        </w:trPr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Račun iz rač. plana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Opis stavke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Šifra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Iznos</w:t>
            </w:r>
          </w:p>
        </w:tc>
        <w:tc>
          <w:tcPr>
            <w:shd w:val="clear" w:color="auto" w:fill="E7F0F9"/>
            <w:tcMar>
              <w:top w:w="0" w:type="dxa"/>
              <w:bottom w:w="0" w:type="dxa"/>
            </w:tcMar>
            <w:vAlign w:val="center"/>
          </w:tcPr>
          <w:p>
            <w:pPr>
              <w:jc w:val="center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  <w:b/>
              </w:rPr>
              <w:t>Indeks (%)</w:t>
            </w:r>
          </w:p>
        </w:tc>
      </w:tr>
      <w:tr>
        <w:trPr>
          <w:trHeight w:val="560" w:hRule="atLeast"/>
          <w:cantSplit/>
        </w:trPr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/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Stanje dospjelih obveza na kraju izvještajnog razdoblja (šifre V008+D23+D24 + 'D dio 25,26' + D27)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lef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V007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0,00</w:t>
            </w:r>
          </w:p>
        </w:tc>
        <w:tc>
          <w:tcPr>
            <w:tcMar>
              <w:top w:w="0" w:type="dxa"/>
              <w:bottom w:w="0" w:type="dxa"/>
            </w:tcMar>
            <w:vAlign w:val="center"/>
          </w:tcPr>
          <w:p>
            <w:pPr>
              <w:jc w:val="right"/>
              <w:pStyle w:val="Normal"/>
              <w:spacing w:before="0" w:after="0" w:line="240" w:lineRule="auto"/>
              <w:keepNext/>
              <w:keepLines/>
            </w:pPr>
            <w:r>
              <w:rPr>
                <w:sz w:val="18"/>
                <w:rFonts w:ascii="Times New Roman" w:hAnsi="Times New Roman"/>
              </w:rPr>
              <w:t>-</w:t>
            </w:r>
          </w:p>
        </w:tc>
      </w:tr>
    </w:tbl>
    <w:p>
      <w:pPr>
        <w:spacing w:before="0" w:after="0"/>
      </w:pPr>
    </w:p>
    <w:p>
      <w:r>
        <w:t xml:space="preserve">Ukupno stanje obveza na kraju izvještajnog razdoblja iznosi 39.757,06 €. S obzirom da nema dospjelih obveza na 31.12.2025. cijeli navedeni iznos se odnosi na stanje nedospjelih obveza na kraju izvještajnog razdoblja. Obveze za rashode poslovanja iznose 37.422,06 €, a obveze za nabavu nefinancijske imovine iznose 2.335,00 €.</w:t>
      </w:r>
    </w:p>
    <w:p/>
  </w:body>
</w:document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sz w:val="24"/>
      </w:rPr>
    </w:rPrDefault>
  </w:docDefaults>
  <w:style w:type="paragraph" w:styleId="Normal" w:default="true">
    <w:name w:val="Normal"/>
    <w:rPr>
      <w:rFonts w:ascii="Times New Roman" w:hAnsi="Times New Roman"/>
      <w:sz w:val="24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12e1a0b683d1449e" /></Relationships>
</file>